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B5" w:rsidRPr="00AD1C27" w:rsidRDefault="001B267C" w:rsidP="008E43B5">
      <w:pPr>
        <w:jc w:val="center"/>
        <w:rPr>
          <w:sz w:val="21"/>
          <w:szCs w:val="21"/>
        </w:rPr>
      </w:pPr>
      <w:r>
        <w:rPr>
          <w:sz w:val="21"/>
          <w:szCs w:val="21"/>
        </w:rPr>
        <w:t>August 23</w:t>
      </w:r>
      <w:r w:rsidR="008E43B5">
        <w:rPr>
          <w:sz w:val="21"/>
          <w:szCs w:val="21"/>
        </w:rPr>
        <w:t>, 2012</w:t>
      </w:r>
    </w:p>
    <w:p w:rsidR="008E43B5" w:rsidRPr="00AD1C27" w:rsidRDefault="008E43B5" w:rsidP="008E43B5">
      <w:pPr>
        <w:jc w:val="center"/>
        <w:rPr>
          <w:sz w:val="21"/>
          <w:szCs w:val="21"/>
        </w:rPr>
      </w:pPr>
    </w:p>
    <w:p w:rsidR="008E43B5" w:rsidRDefault="001B267C" w:rsidP="008E43B5">
      <w:pPr>
        <w:pStyle w:val="BodyText2"/>
        <w:ind w:left="0" w:firstLine="0"/>
        <w:rPr>
          <w:sz w:val="21"/>
          <w:szCs w:val="21"/>
        </w:rPr>
      </w:pPr>
      <w:r>
        <w:rPr>
          <w:sz w:val="21"/>
          <w:szCs w:val="21"/>
        </w:rPr>
        <w:t>The 2012-2013 budget hearing conducted at the regular</w:t>
      </w:r>
      <w:r w:rsidR="008E43B5" w:rsidRPr="00AD1C27">
        <w:rPr>
          <w:sz w:val="21"/>
          <w:szCs w:val="21"/>
        </w:rPr>
        <w:t xml:space="preserve"> meeting of the Sidney Public Schools Board of Trustees </w:t>
      </w:r>
      <w:r>
        <w:rPr>
          <w:sz w:val="21"/>
          <w:szCs w:val="21"/>
        </w:rPr>
        <w:t xml:space="preserve">on </w:t>
      </w:r>
      <w:r w:rsidR="008F5C82">
        <w:rPr>
          <w:sz w:val="21"/>
          <w:szCs w:val="21"/>
        </w:rPr>
        <w:t>Mon</w:t>
      </w:r>
      <w:r w:rsidR="008E43B5" w:rsidRPr="00AD1C27">
        <w:rPr>
          <w:sz w:val="21"/>
          <w:szCs w:val="21"/>
        </w:rPr>
        <w:t xml:space="preserve">day, </w:t>
      </w:r>
      <w:r>
        <w:rPr>
          <w:sz w:val="21"/>
          <w:szCs w:val="21"/>
        </w:rPr>
        <w:t>August 13</w:t>
      </w:r>
      <w:r w:rsidR="008E43B5" w:rsidRPr="00AD1C27">
        <w:rPr>
          <w:sz w:val="21"/>
          <w:szCs w:val="21"/>
        </w:rPr>
        <w:t>, 2012</w:t>
      </w:r>
      <w:r>
        <w:rPr>
          <w:sz w:val="21"/>
          <w:szCs w:val="21"/>
        </w:rPr>
        <w:t>,</w:t>
      </w:r>
      <w:r w:rsidR="008E43B5" w:rsidRPr="00AD1C27">
        <w:rPr>
          <w:sz w:val="21"/>
          <w:szCs w:val="21"/>
        </w:rPr>
        <w:t xml:space="preserve"> </w:t>
      </w:r>
      <w:r>
        <w:rPr>
          <w:sz w:val="21"/>
          <w:szCs w:val="21"/>
        </w:rPr>
        <w:t>was continued until tonight at 7:00 PM</w:t>
      </w:r>
      <w:r w:rsidR="008E43B5" w:rsidRPr="00AD1C27">
        <w:rPr>
          <w:sz w:val="21"/>
          <w:szCs w:val="21"/>
        </w:rPr>
        <w:t xml:space="preserve"> in Room 104 of Central School</w:t>
      </w:r>
      <w:r>
        <w:rPr>
          <w:sz w:val="21"/>
          <w:szCs w:val="21"/>
        </w:rPr>
        <w:t>.  Added to the agenda of this meeting were resignations and</w:t>
      </w:r>
      <w:r w:rsidR="008E43B5">
        <w:rPr>
          <w:sz w:val="21"/>
          <w:szCs w:val="21"/>
        </w:rPr>
        <w:t xml:space="preserve"> </w:t>
      </w:r>
      <w:r w:rsidR="008F5C82">
        <w:rPr>
          <w:sz w:val="21"/>
          <w:szCs w:val="21"/>
        </w:rPr>
        <w:t>new hires</w:t>
      </w:r>
      <w:r>
        <w:rPr>
          <w:sz w:val="21"/>
          <w:szCs w:val="21"/>
        </w:rPr>
        <w:t xml:space="preserve">.  </w:t>
      </w:r>
      <w:r w:rsidR="008E43B5" w:rsidRPr="00AD1C27">
        <w:rPr>
          <w:sz w:val="21"/>
          <w:szCs w:val="21"/>
        </w:rPr>
        <w:t xml:space="preserve">Present were Trustees </w:t>
      </w:r>
      <w:r w:rsidR="008E43B5">
        <w:rPr>
          <w:sz w:val="21"/>
          <w:szCs w:val="21"/>
        </w:rPr>
        <w:t>Kelly Dey, Luann Cooley</w:t>
      </w:r>
      <w:r w:rsidR="008E43B5" w:rsidRPr="00AD1C27">
        <w:rPr>
          <w:sz w:val="21"/>
          <w:szCs w:val="21"/>
        </w:rPr>
        <w:t xml:space="preserve">, </w:t>
      </w:r>
      <w:r w:rsidR="008E43B5">
        <w:rPr>
          <w:sz w:val="21"/>
          <w:szCs w:val="21"/>
        </w:rPr>
        <w:t>Dexter Thiel</w:t>
      </w:r>
      <w:r>
        <w:rPr>
          <w:sz w:val="21"/>
          <w:szCs w:val="21"/>
        </w:rPr>
        <w:t xml:space="preserve"> and </w:t>
      </w:r>
      <w:r w:rsidR="008F5C82">
        <w:rPr>
          <w:sz w:val="21"/>
          <w:szCs w:val="21"/>
        </w:rPr>
        <w:t>Dennis Lorenz</w:t>
      </w:r>
      <w:r w:rsidR="008E43B5" w:rsidRPr="00AD1C27">
        <w:rPr>
          <w:sz w:val="21"/>
          <w:szCs w:val="21"/>
        </w:rPr>
        <w:t>.  Also in atten</w:t>
      </w:r>
      <w:r w:rsidR="008E43B5">
        <w:rPr>
          <w:sz w:val="21"/>
          <w:szCs w:val="21"/>
        </w:rPr>
        <w:t xml:space="preserve">dance were Superintendent Farr and </w:t>
      </w:r>
      <w:r w:rsidR="008E43B5" w:rsidRPr="00AD1C27">
        <w:rPr>
          <w:sz w:val="21"/>
          <w:szCs w:val="21"/>
        </w:rPr>
        <w:t>Clerk Beyer</w:t>
      </w:r>
      <w:r w:rsidR="008E43B5">
        <w:rPr>
          <w:sz w:val="21"/>
          <w:szCs w:val="21"/>
        </w:rPr>
        <w:t xml:space="preserve">.  Absent </w:t>
      </w:r>
      <w:r>
        <w:rPr>
          <w:sz w:val="21"/>
          <w:szCs w:val="21"/>
        </w:rPr>
        <w:t>were</w:t>
      </w:r>
      <w:r w:rsidR="008F5C82">
        <w:rPr>
          <w:sz w:val="21"/>
          <w:szCs w:val="21"/>
        </w:rPr>
        <w:t xml:space="preserve"> Trustee</w:t>
      </w:r>
      <w:r>
        <w:rPr>
          <w:sz w:val="21"/>
          <w:szCs w:val="21"/>
        </w:rPr>
        <w:t xml:space="preserve">s </w:t>
      </w:r>
      <w:proofErr w:type="spellStart"/>
      <w:r>
        <w:rPr>
          <w:sz w:val="21"/>
          <w:szCs w:val="21"/>
        </w:rPr>
        <w:t>Serina</w:t>
      </w:r>
      <w:proofErr w:type="spellEnd"/>
      <w:r>
        <w:rPr>
          <w:sz w:val="21"/>
          <w:szCs w:val="21"/>
        </w:rPr>
        <w:t xml:space="preserve"> Everett and </w:t>
      </w:r>
      <w:r w:rsidR="008F5C82">
        <w:rPr>
          <w:sz w:val="21"/>
          <w:szCs w:val="21"/>
        </w:rPr>
        <w:t>Craig Steinbeisser</w:t>
      </w:r>
      <w:r w:rsidR="008E43B5">
        <w:rPr>
          <w:sz w:val="21"/>
          <w:szCs w:val="21"/>
        </w:rPr>
        <w:t xml:space="preserve">.  </w:t>
      </w:r>
      <w:r w:rsidR="008F5C82">
        <w:rPr>
          <w:sz w:val="21"/>
          <w:szCs w:val="21"/>
        </w:rPr>
        <w:t xml:space="preserve">Also in attendance was </w:t>
      </w:r>
      <w:proofErr w:type="spellStart"/>
      <w:r>
        <w:rPr>
          <w:sz w:val="21"/>
          <w:szCs w:val="21"/>
        </w:rPr>
        <w:t>Vanderweele</w:t>
      </w:r>
      <w:proofErr w:type="spellEnd"/>
      <w:r>
        <w:rPr>
          <w:sz w:val="21"/>
          <w:szCs w:val="21"/>
        </w:rPr>
        <w:t xml:space="preserve"> with the Sidney Herald.</w:t>
      </w:r>
    </w:p>
    <w:p w:rsidR="008E43B5" w:rsidRPr="00AD1C27" w:rsidRDefault="008E43B5" w:rsidP="008E43B5">
      <w:pPr>
        <w:pStyle w:val="BodyText2"/>
        <w:ind w:left="0" w:firstLine="0"/>
        <w:rPr>
          <w:sz w:val="21"/>
          <w:szCs w:val="21"/>
        </w:rPr>
      </w:pPr>
      <w:r w:rsidRPr="00AD1C27">
        <w:rPr>
          <w:sz w:val="21"/>
          <w:szCs w:val="21"/>
        </w:rPr>
        <w:t xml:space="preserve">  </w:t>
      </w:r>
    </w:p>
    <w:p w:rsidR="00696ACE" w:rsidRPr="00AD1C27" w:rsidRDefault="008E43B5" w:rsidP="008E43B5">
      <w:pPr>
        <w:pStyle w:val="BodyText2"/>
        <w:ind w:left="0" w:firstLine="0"/>
        <w:rPr>
          <w:sz w:val="21"/>
          <w:szCs w:val="21"/>
        </w:rPr>
      </w:pPr>
      <w:r>
        <w:rPr>
          <w:sz w:val="21"/>
          <w:szCs w:val="21"/>
        </w:rPr>
        <w:t>Chair</w:t>
      </w:r>
      <w:r w:rsidR="008F5C82">
        <w:rPr>
          <w:sz w:val="21"/>
          <w:szCs w:val="21"/>
        </w:rPr>
        <w:t>woman</w:t>
      </w:r>
      <w:r w:rsidRPr="00AD1C27">
        <w:rPr>
          <w:sz w:val="21"/>
          <w:szCs w:val="21"/>
        </w:rPr>
        <w:t xml:space="preserve"> </w:t>
      </w:r>
      <w:r>
        <w:rPr>
          <w:sz w:val="21"/>
          <w:szCs w:val="21"/>
        </w:rPr>
        <w:t>Dey</w:t>
      </w:r>
      <w:r w:rsidRPr="00AD1C27">
        <w:rPr>
          <w:sz w:val="21"/>
          <w:szCs w:val="21"/>
        </w:rPr>
        <w:t xml:space="preserve"> called the meeting to order at </w:t>
      </w:r>
      <w:r w:rsidR="001B267C">
        <w:rPr>
          <w:sz w:val="21"/>
          <w:szCs w:val="21"/>
        </w:rPr>
        <w:t>7:06</w:t>
      </w:r>
      <w:r w:rsidRPr="00AD1C27">
        <w:rPr>
          <w:sz w:val="21"/>
          <w:szCs w:val="21"/>
        </w:rPr>
        <w:t xml:space="preserve"> PM</w:t>
      </w:r>
      <w:r>
        <w:rPr>
          <w:sz w:val="21"/>
          <w:szCs w:val="21"/>
        </w:rPr>
        <w:t xml:space="preserve"> stating</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Default="000E1C30" w:rsidP="00BD23E3">
      <w:pPr>
        <w:pStyle w:val="BodyText2"/>
        <w:ind w:left="0" w:firstLine="0"/>
        <w:rPr>
          <w:sz w:val="21"/>
          <w:szCs w:val="21"/>
        </w:rPr>
      </w:pPr>
    </w:p>
    <w:p w:rsidR="001B267C" w:rsidRPr="001B267C" w:rsidRDefault="001B267C" w:rsidP="00BD23E3">
      <w:pPr>
        <w:pStyle w:val="BodyText2"/>
        <w:ind w:left="0" w:firstLine="0"/>
        <w:rPr>
          <w:b/>
          <w:sz w:val="21"/>
          <w:szCs w:val="21"/>
          <w:u w:val="single"/>
        </w:rPr>
      </w:pPr>
      <w:r>
        <w:rPr>
          <w:b/>
          <w:sz w:val="21"/>
          <w:szCs w:val="21"/>
          <w:u w:val="single"/>
        </w:rPr>
        <w:t>Superintendent’s Report:</w:t>
      </w:r>
    </w:p>
    <w:p w:rsidR="00C2111B" w:rsidRDefault="001B267C" w:rsidP="00C2111B">
      <w:pPr>
        <w:ind w:left="0" w:firstLine="0"/>
        <w:rPr>
          <w:sz w:val="21"/>
          <w:szCs w:val="21"/>
        </w:rPr>
      </w:pPr>
      <w:r>
        <w:rPr>
          <w:sz w:val="21"/>
          <w:szCs w:val="21"/>
        </w:rPr>
        <w:t>Superintendent Farr provided the following updates to the Trustees:</w:t>
      </w:r>
    </w:p>
    <w:p w:rsidR="001B267C" w:rsidRPr="001B267C" w:rsidRDefault="001B267C" w:rsidP="001B267C">
      <w:pPr>
        <w:ind w:left="0" w:firstLine="0"/>
        <w:rPr>
          <w:sz w:val="21"/>
          <w:szCs w:val="21"/>
        </w:rPr>
      </w:pPr>
      <w:r w:rsidRPr="001B267C">
        <w:rPr>
          <w:sz w:val="21"/>
          <w:szCs w:val="21"/>
        </w:rPr>
        <w:t>-</w:t>
      </w:r>
      <w:r>
        <w:rPr>
          <w:sz w:val="21"/>
          <w:szCs w:val="21"/>
        </w:rPr>
        <w:t xml:space="preserve"> </w:t>
      </w:r>
      <w:r w:rsidRPr="001B267C">
        <w:rPr>
          <w:sz w:val="21"/>
          <w:szCs w:val="21"/>
        </w:rPr>
        <w:t xml:space="preserve">The addition of Arch </w:t>
      </w:r>
      <w:proofErr w:type="spellStart"/>
      <w:r w:rsidRPr="001B267C">
        <w:rPr>
          <w:sz w:val="21"/>
          <w:szCs w:val="21"/>
        </w:rPr>
        <w:t>Ellwein</w:t>
      </w:r>
      <w:proofErr w:type="spellEnd"/>
      <w:r w:rsidRPr="001B267C">
        <w:rPr>
          <w:sz w:val="21"/>
          <w:szCs w:val="21"/>
        </w:rPr>
        <w:t xml:space="preserve"> – High School Play Advisor to the resignations;</w:t>
      </w:r>
    </w:p>
    <w:p w:rsidR="001B267C" w:rsidRDefault="001B267C" w:rsidP="00C2111B">
      <w:pPr>
        <w:ind w:left="0" w:firstLine="0"/>
        <w:rPr>
          <w:sz w:val="21"/>
          <w:szCs w:val="21"/>
        </w:rPr>
      </w:pPr>
      <w:r>
        <w:rPr>
          <w:sz w:val="21"/>
          <w:szCs w:val="21"/>
        </w:rPr>
        <w:t>- An overview of the PIR day for staff and reports on the first day of school as well as current enrollment.  If enrollment remains at current levels through the October count day, the District will seek a budget amendment in the High School District;</w:t>
      </w:r>
    </w:p>
    <w:p w:rsidR="001B267C" w:rsidRDefault="001B267C" w:rsidP="00C2111B">
      <w:pPr>
        <w:ind w:left="0" w:firstLine="0"/>
        <w:rPr>
          <w:sz w:val="21"/>
          <w:szCs w:val="21"/>
        </w:rPr>
      </w:pPr>
      <w:r>
        <w:rPr>
          <w:sz w:val="21"/>
          <w:szCs w:val="21"/>
        </w:rPr>
        <w:t>- Related current stressors for staff were the High School Communication Arts and Special Education;</w:t>
      </w:r>
    </w:p>
    <w:p w:rsidR="001B267C" w:rsidRDefault="001B267C" w:rsidP="00C2111B">
      <w:pPr>
        <w:ind w:left="0" w:firstLine="0"/>
        <w:rPr>
          <w:sz w:val="21"/>
          <w:szCs w:val="21"/>
        </w:rPr>
      </w:pPr>
      <w:r>
        <w:rPr>
          <w:sz w:val="21"/>
          <w:szCs w:val="21"/>
        </w:rPr>
        <w:t>- Reported that Mr. Arnold was working on an OPI grant to assist our homeless students;</w:t>
      </w:r>
    </w:p>
    <w:p w:rsidR="001B267C" w:rsidRDefault="001B267C" w:rsidP="00C2111B">
      <w:pPr>
        <w:ind w:left="0" w:firstLine="0"/>
        <w:rPr>
          <w:sz w:val="21"/>
          <w:szCs w:val="21"/>
        </w:rPr>
      </w:pPr>
      <w:r>
        <w:rPr>
          <w:sz w:val="21"/>
          <w:szCs w:val="21"/>
        </w:rPr>
        <w:t>- Provided copies of building handbooks for Trustees;</w:t>
      </w:r>
    </w:p>
    <w:p w:rsidR="001B267C" w:rsidRDefault="001B267C" w:rsidP="00C2111B">
      <w:pPr>
        <w:ind w:left="0" w:firstLine="0"/>
        <w:rPr>
          <w:sz w:val="21"/>
          <w:szCs w:val="21"/>
        </w:rPr>
      </w:pPr>
      <w:r>
        <w:rPr>
          <w:sz w:val="21"/>
          <w:szCs w:val="21"/>
        </w:rPr>
        <w:t>- Reminded Trustees of the opportunity to attend the Back to School Legal Primer, September 11</w:t>
      </w:r>
      <w:r w:rsidRPr="001B267C">
        <w:rPr>
          <w:sz w:val="21"/>
          <w:szCs w:val="21"/>
          <w:vertAlign w:val="superscript"/>
        </w:rPr>
        <w:t>th</w:t>
      </w:r>
      <w:r>
        <w:rPr>
          <w:sz w:val="21"/>
          <w:szCs w:val="21"/>
        </w:rPr>
        <w:t xml:space="preserve"> at the High School Multi-purpose room; and</w:t>
      </w:r>
    </w:p>
    <w:p w:rsidR="001B267C" w:rsidRDefault="001B267C" w:rsidP="00C2111B">
      <w:pPr>
        <w:ind w:left="0" w:firstLine="0"/>
        <w:rPr>
          <w:sz w:val="21"/>
          <w:szCs w:val="21"/>
        </w:rPr>
      </w:pPr>
      <w:r>
        <w:rPr>
          <w:sz w:val="21"/>
          <w:szCs w:val="21"/>
        </w:rPr>
        <w:t>- Reviewed food service obstacles including the new regulations, the need to charge for “seconds” per the State and operating without a dishwasher at Central temporarily.</w:t>
      </w:r>
    </w:p>
    <w:p w:rsidR="001B267C" w:rsidRDefault="001B267C" w:rsidP="00C2111B">
      <w:pPr>
        <w:ind w:left="0" w:firstLine="0"/>
        <w:rPr>
          <w:sz w:val="21"/>
          <w:szCs w:val="21"/>
        </w:rPr>
      </w:pPr>
    </w:p>
    <w:p w:rsidR="00AB6C74" w:rsidRPr="001B267C" w:rsidRDefault="001B267C" w:rsidP="00C2111B">
      <w:pPr>
        <w:ind w:left="0" w:firstLine="0"/>
        <w:rPr>
          <w:sz w:val="21"/>
          <w:szCs w:val="21"/>
        </w:rPr>
      </w:pPr>
      <w:r>
        <w:rPr>
          <w:sz w:val="21"/>
          <w:szCs w:val="21"/>
        </w:rPr>
        <w:t>The following resignations were accepted 4 to 0 on a motion by Mr. Lorenz and a second by Mr. Thiel.</w:t>
      </w:r>
    </w:p>
    <w:p w:rsidR="001B267C" w:rsidRDefault="001B267C" w:rsidP="001B267C">
      <w:pPr>
        <w:ind w:left="0" w:firstLine="0"/>
        <w:rPr>
          <w:sz w:val="21"/>
          <w:szCs w:val="21"/>
        </w:rPr>
      </w:pPr>
      <w:r w:rsidRPr="001B267C">
        <w:rPr>
          <w:sz w:val="21"/>
          <w:szCs w:val="21"/>
        </w:rPr>
        <w:t xml:space="preserve">-  </w:t>
      </w:r>
      <w:r>
        <w:rPr>
          <w:sz w:val="21"/>
          <w:szCs w:val="21"/>
        </w:rPr>
        <w:t>Teresa Pedersen – Middle School Special Education Aide</w:t>
      </w:r>
    </w:p>
    <w:p w:rsidR="001B267C" w:rsidRDefault="001B267C" w:rsidP="001B267C">
      <w:pPr>
        <w:ind w:left="0" w:firstLine="0"/>
        <w:rPr>
          <w:sz w:val="21"/>
          <w:szCs w:val="21"/>
        </w:rPr>
      </w:pPr>
      <w:r>
        <w:rPr>
          <w:sz w:val="21"/>
          <w:szCs w:val="21"/>
        </w:rPr>
        <w:t>-  Jennifer Arias – OT/PT Aide</w:t>
      </w:r>
    </w:p>
    <w:p w:rsidR="001B267C" w:rsidRPr="001B267C" w:rsidRDefault="001B267C" w:rsidP="001B267C">
      <w:pPr>
        <w:ind w:left="0" w:firstLine="0"/>
        <w:rPr>
          <w:sz w:val="21"/>
          <w:szCs w:val="21"/>
        </w:rPr>
      </w:pPr>
      <w:r>
        <w:rPr>
          <w:sz w:val="21"/>
          <w:szCs w:val="21"/>
        </w:rPr>
        <w:t xml:space="preserve">-  Arch </w:t>
      </w:r>
      <w:proofErr w:type="spellStart"/>
      <w:r>
        <w:rPr>
          <w:sz w:val="21"/>
          <w:szCs w:val="21"/>
        </w:rPr>
        <w:t>Ellwein</w:t>
      </w:r>
      <w:proofErr w:type="spellEnd"/>
      <w:r>
        <w:rPr>
          <w:sz w:val="21"/>
          <w:szCs w:val="21"/>
        </w:rPr>
        <w:t xml:space="preserve"> – High School Play Advisor</w:t>
      </w:r>
    </w:p>
    <w:p w:rsidR="00AB6C74" w:rsidRDefault="00AB6C74" w:rsidP="00C2111B">
      <w:pPr>
        <w:ind w:left="0" w:firstLine="0"/>
        <w:rPr>
          <w:sz w:val="21"/>
          <w:szCs w:val="21"/>
        </w:rPr>
      </w:pPr>
    </w:p>
    <w:p w:rsidR="00AB6C74" w:rsidRDefault="001B267C" w:rsidP="00C2111B">
      <w:pPr>
        <w:ind w:left="0" w:firstLine="0"/>
        <w:rPr>
          <w:sz w:val="21"/>
          <w:szCs w:val="21"/>
        </w:rPr>
      </w:pPr>
      <w:r>
        <w:rPr>
          <w:sz w:val="21"/>
          <w:szCs w:val="21"/>
        </w:rPr>
        <w:t>The following new hires were approved 4 to 0 on a motion by Mr. Lorenz and a second by Mrs. Cooley</w:t>
      </w:r>
    </w:p>
    <w:p w:rsidR="001B267C" w:rsidRDefault="001B267C" w:rsidP="001B267C">
      <w:pPr>
        <w:ind w:left="0" w:firstLine="0"/>
        <w:rPr>
          <w:sz w:val="21"/>
          <w:szCs w:val="21"/>
        </w:rPr>
      </w:pPr>
      <w:r w:rsidRPr="001B267C">
        <w:rPr>
          <w:sz w:val="21"/>
          <w:szCs w:val="21"/>
        </w:rPr>
        <w:t>-</w:t>
      </w:r>
      <w:r>
        <w:rPr>
          <w:sz w:val="21"/>
          <w:szCs w:val="21"/>
        </w:rPr>
        <w:t xml:space="preserve"> </w:t>
      </w:r>
      <w:r w:rsidRPr="001B267C">
        <w:rPr>
          <w:sz w:val="21"/>
          <w:szCs w:val="21"/>
        </w:rPr>
        <w:t xml:space="preserve"> </w:t>
      </w:r>
      <w:proofErr w:type="spellStart"/>
      <w:r>
        <w:rPr>
          <w:sz w:val="21"/>
          <w:szCs w:val="21"/>
        </w:rPr>
        <w:t>Zdenek</w:t>
      </w:r>
      <w:proofErr w:type="spellEnd"/>
      <w:r>
        <w:rPr>
          <w:sz w:val="21"/>
          <w:szCs w:val="21"/>
        </w:rPr>
        <w:t xml:space="preserve"> </w:t>
      </w:r>
      <w:proofErr w:type="spellStart"/>
      <w:r>
        <w:rPr>
          <w:sz w:val="21"/>
          <w:szCs w:val="21"/>
        </w:rPr>
        <w:t>Vajsar</w:t>
      </w:r>
      <w:proofErr w:type="spellEnd"/>
      <w:r>
        <w:rPr>
          <w:sz w:val="21"/>
          <w:szCs w:val="21"/>
        </w:rPr>
        <w:t xml:space="preserve"> – Co-advisor High School Band (60%)</w:t>
      </w:r>
    </w:p>
    <w:p w:rsidR="001B267C" w:rsidRDefault="001B267C" w:rsidP="001B267C">
      <w:pPr>
        <w:ind w:left="0" w:firstLine="0"/>
        <w:rPr>
          <w:sz w:val="21"/>
          <w:szCs w:val="21"/>
        </w:rPr>
      </w:pPr>
      <w:r>
        <w:rPr>
          <w:sz w:val="21"/>
          <w:szCs w:val="21"/>
        </w:rPr>
        <w:t xml:space="preserve">-  Jesse </w:t>
      </w:r>
      <w:proofErr w:type="spellStart"/>
      <w:r>
        <w:rPr>
          <w:sz w:val="21"/>
          <w:szCs w:val="21"/>
        </w:rPr>
        <w:t>Nesper</w:t>
      </w:r>
      <w:proofErr w:type="spellEnd"/>
      <w:r>
        <w:rPr>
          <w:sz w:val="21"/>
          <w:szCs w:val="21"/>
        </w:rPr>
        <w:t xml:space="preserve"> – Co-Advisor High Schools Band – Pep Band (40%)</w:t>
      </w:r>
    </w:p>
    <w:p w:rsidR="001B267C" w:rsidRDefault="001B267C" w:rsidP="001B267C">
      <w:pPr>
        <w:ind w:left="0" w:firstLine="0"/>
        <w:rPr>
          <w:sz w:val="21"/>
          <w:szCs w:val="21"/>
        </w:rPr>
      </w:pPr>
      <w:r>
        <w:rPr>
          <w:sz w:val="21"/>
          <w:szCs w:val="21"/>
        </w:rPr>
        <w:t>-  Kristin Roberts – Co-Advisor Assistant Cheer/Dance Coach (50%)</w:t>
      </w:r>
    </w:p>
    <w:p w:rsidR="001B267C" w:rsidRDefault="001B267C" w:rsidP="001B267C">
      <w:pPr>
        <w:ind w:left="0" w:firstLine="0"/>
        <w:rPr>
          <w:sz w:val="21"/>
          <w:szCs w:val="21"/>
        </w:rPr>
      </w:pPr>
      <w:r>
        <w:rPr>
          <w:sz w:val="21"/>
          <w:szCs w:val="21"/>
        </w:rPr>
        <w:t>-  Kris Radke – Co-Advisor Assistant Cheer/Dance Coach (50%)</w:t>
      </w:r>
    </w:p>
    <w:p w:rsidR="001B267C" w:rsidRDefault="001B267C" w:rsidP="001B267C">
      <w:pPr>
        <w:ind w:left="0" w:firstLine="0"/>
        <w:rPr>
          <w:sz w:val="21"/>
          <w:szCs w:val="21"/>
        </w:rPr>
      </w:pPr>
      <w:r>
        <w:rPr>
          <w:sz w:val="21"/>
          <w:szCs w:val="21"/>
        </w:rPr>
        <w:t xml:space="preserve">-  Angie </w:t>
      </w:r>
      <w:proofErr w:type="spellStart"/>
      <w:r>
        <w:rPr>
          <w:sz w:val="21"/>
          <w:szCs w:val="21"/>
        </w:rPr>
        <w:t>Handford</w:t>
      </w:r>
      <w:proofErr w:type="spellEnd"/>
      <w:r>
        <w:rPr>
          <w:sz w:val="21"/>
          <w:szCs w:val="21"/>
        </w:rPr>
        <w:t xml:space="preserve"> – Hot Cook</w:t>
      </w:r>
    </w:p>
    <w:p w:rsidR="001B267C" w:rsidRDefault="001B267C" w:rsidP="001B267C">
      <w:pPr>
        <w:ind w:left="0" w:firstLine="0"/>
        <w:rPr>
          <w:sz w:val="21"/>
          <w:szCs w:val="21"/>
        </w:rPr>
      </w:pPr>
      <w:r>
        <w:rPr>
          <w:sz w:val="21"/>
          <w:szCs w:val="21"/>
        </w:rPr>
        <w:t>-  Michelle Patterson – Food Service Worker</w:t>
      </w:r>
    </w:p>
    <w:p w:rsidR="001B267C" w:rsidRDefault="001B267C" w:rsidP="001B267C">
      <w:pPr>
        <w:ind w:left="0" w:firstLine="0"/>
        <w:rPr>
          <w:sz w:val="21"/>
          <w:szCs w:val="21"/>
        </w:rPr>
      </w:pPr>
      <w:r>
        <w:rPr>
          <w:sz w:val="21"/>
          <w:szCs w:val="21"/>
        </w:rPr>
        <w:t xml:space="preserve">-  Jenny </w:t>
      </w:r>
      <w:proofErr w:type="spellStart"/>
      <w:r>
        <w:rPr>
          <w:sz w:val="21"/>
          <w:szCs w:val="21"/>
        </w:rPr>
        <w:t>Nordquist</w:t>
      </w:r>
      <w:proofErr w:type="spellEnd"/>
      <w:r>
        <w:rPr>
          <w:sz w:val="21"/>
          <w:szCs w:val="21"/>
        </w:rPr>
        <w:t xml:space="preserve"> – Speech/Language Aide</w:t>
      </w:r>
    </w:p>
    <w:p w:rsidR="001B267C" w:rsidRDefault="001B267C" w:rsidP="001B267C">
      <w:pPr>
        <w:ind w:left="0" w:firstLine="0"/>
        <w:rPr>
          <w:sz w:val="21"/>
          <w:szCs w:val="21"/>
        </w:rPr>
      </w:pPr>
      <w:r>
        <w:rPr>
          <w:sz w:val="21"/>
          <w:szCs w:val="21"/>
        </w:rPr>
        <w:t>-  Michelle Young – Middle School Special Education Aide</w:t>
      </w:r>
    </w:p>
    <w:p w:rsidR="001B267C" w:rsidRDefault="001B267C" w:rsidP="001B267C">
      <w:pPr>
        <w:ind w:left="0" w:firstLine="0"/>
        <w:rPr>
          <w:sz w:val="21"/>
          <w:szCs w:val="21"/>
        </w:rPr>
      </w:pPr>
      <w:r>
        <w:rPr>
          <w:sz w:val="21"/>
          <w:szCs w:val="21"/>
        </w:rPr>
        <w:t xml:space="preserve">-  Rita </w:t>
      </w:r>
      <w:proofErr w:type="spellStart"/>
      <w:r>
        <w:rPr>
          <w:sz w:val="21"/>
          <w:szCs w:val="21"/>
        </w:rPr>
        <w:t>Tofte</w:t>
      </w:r>
      <w:proofErr w:type="spellEnd"/>
      <w:r>
        <w:rPr>
          <w:sz w:val="21"/>
          <w:szCs w:val="21"/>
        </w:rPr>
        <w:t xml:space="preserve"> – OT/PT Aide</w:t>
      </w:r>
    </w:p>
    <w:p w:rsidR="001B267C" w:rsidRPr="001B267C" w:rsidRDefault="001B267C" w:rsidP="001B267C">
      <w:pPr>
        <w:ind w:left="0" w:firstLine="0"/>
        <w:rPr>
          <w:sz w:val="21"/>
          <w:szCs w:val="21"/>
        </w:rPr>
      </w:pPr>
      <w:r>
        <w:rPr>
          <w:sz w:val="21"/>
          <w:szCs w:val="21"/>
        </w:rPr>
        <w:t>-  Louise Wraith – High School Special Education Aide</w:t>
      </w:r>
    </w:p>
    <w:p w:rsidR="00AB6C74" w:rsidRDefault="00AB6C74" w:rsidP="00C2111B">
      <w:pPr>
        <w:ind w:left="0" w:firstLine="0"/>
        <w:rPr>
          <w:sz w:val="21"/>
          <w:szCs w:val="21"/>
        </w:rPr>
      </w:pPr>
    </w:p>
    <w:p w:rsidR="00CF3F05" w:rsidRDefault="008E43B5" w:rsidP="009C0B86">
      <w:pPr>
        <w:ind w:left="0" w:firstLine="0"/>
        <w:outlineLvl w:val="0"/>
        <w:rPr>
          <w:sz w:val="21"/>
          <w:szCs w:val="21"/>
        </w:rPr>
      </w:pPr>
      <w:r>
        <w:rPr>
          <w:sz w:val="21"/>
          <w:szCs w:val="21"/>
        </w:rPr>
        <w:t>Clerk Beyer pr</w:t>
      </w:r>
      <w:r w:rsidR="00200C7B">
        <w:rPr>
          <w:sz w:val="21"/>
          <w:szCs w:val="21"/>
        </w:rPr>
        <w:t xml:space="preserve">esented </w:t>
      </w:r>
      <w:r w:rsidR="001B267C">
        <w:rPr>
          <w:sz w:val="21"/>
          <w:szCs w:val="21"/>
        </w:rPr>
        <w:t>the 2012-2013 budgets at noted below:</w:t>
      </w:r>
    </w:p>
    <w:p w:rsidR="001B267C" w:rsidRDefault="001B267C" w:rsidP="009C0B86">
      <w:pPr>
        <w:ind w:left="0" w:firstLine="0"/>
        <w:outlineLvl w:val="0"/>
        <w:rPr>
          <w:sz w:val="21"/>
          <w:szCs w:val="21"/>
        </w:rPr>
      </w:pPr>
    </w:p>
    <w:tbl>
      <w:tblPr>
        <w:tblW w:w="4880" w:type="dxa"/>
        <w:tblInd w:w="99" w:type="dxa"/>
        <w:tblLook w:val="04A0"/>
      </w:tblPr>
      <w:tblGrid>
        <w:gridCol w:w="2440"/>
        <w:gridCol w:w="1775"/>
        <w:gridCol w:w="767"/>
      </w:tblGrid>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2440" w:type="dxa"/>
            <w:gridSpan w:val="2"/>
            <w:tcBorders>
              <w:top w:val="nil"/>
              <w:left w:val="nil"/>
              <w:bottom w:val="nil"/>
              <w:right w:val="nil"/>
            </w:tcBorders>
            <w:shd w:val="clear" w:color="auto" w:fill="auto"/>
            <w:noWrap/>
            <w:vAlign w:val="bottom"/>
            <w:hideMark/>
          </w:tcPr>
          <w:p w:rsidR="001B267C" w:rsidRPr="001B267C" w:rsidRDefault="001B267C" w:rsidP="001B267C">
            <w:pPr>
              <w:ind w:left="0" w:firstLine="0"/>
              <w:jc w:val="center"/>
              <w:rPr>
                <w:rFonts w:ascii="Arial" w:hAnsi="Arial" w:cs="Arial"/>
                <w:b/>
                <w:bCs/>
                <w:sz w:val="18"/>
                <w:szCs w:val="18"/>
              </w:rPr>
            </w:pPr>
            <w:r w:rsidRPr="001B267C">
              <w:rPr>
                <w:rFonts w:ascii="Arial" w:hAnsi="Arial" w:cs="Arial"/>
                <w:b/>
                <w:bCs/>
                <w:sz w:val="18"/>
                <w:szCs w:val="18"/>
              </w:rPr>
              <w:t>2012-2013</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2440" w:type="dxa"/>
            <w:gridSpan w:val="2"/>
            <w:tcBorders>
              <w:top w:val="nil"/>
              <w:left w:val="nil"/>
              <w:bottom w:val="nil"/>
              <w:right w:val="nil"/>
            </w:tcBorders>
            <w:shd w:val="clear" w:color="auto" w:fill="auto"/>
            <w:noWrap/>
            <w:vAlign w:val="bottom"/>
            <w:hideMark/>
          </w:tcPr>
          <w:p w:rsidR="001B267C" w:rsidRPr="001B267C" w:rsidRDefault="001B267C" w:rsidP="001B267C">
            <w:pPr>
              <w:ind w:left="0" w:firstLine="0"/>
              <w:jc w:val="center"/>
              <w:rPr>
                <w:rFonts w:ascii="Arial" w:hAnsi="Arial" w:cs="Arial"/>
                <w:b/>
                <w:bCs/>
                <w:sz w:val="18"/>
                <w:szCs w:val="18"/>
              </w:rPr>
            </w:pPr>
            <w:r w:rsidRPr="001B267C">
              <w:rPr>
                <w:rFonts w:ascii="Arial" w:hAnsi="Arial" w:cs="Arial"/>
                <w:b/>
                <w:bCs/>
                <w:sz w:val="18"/>
                <w:szCs w:val="18"/>
              </w:rPr>
              <w:t>PROPOSED BUDGETS</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ELEMENTARY DISTRICT #5</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b/>
                <w:bCs/>
                <w:sz w:val="18"/>
                <w:szCs w:val="18"/>
              </w:rPr>
            </w:pPr>
            <w:r w:rsidRPr="001B267C">
              <w:rPr>
                <w:rFonts w:ascii="Arial" w:hAnsi="Arial" w:cs="Arial"/>
                <w:b/>
                <w:bCs/>
                <w:sz w:val="18"/>
                <w:szCs w:val="18"/>
              </w:rPr>
              <w:t>BUDGET</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b/>
                <w:bCs/>
                <w:sz w:val="18"/>
                <w:szCs w:val="18"/>
              </w:rPr>
            </w:pPr>
            <w:r w:rsidRPr="001B267C">
              <w:rPr>
                <w:rFonts w:ascii="Arial" w:hAnsi="Arial" w:cs="Arial"/>
                <w:b/>
                <w:bCs/>
                <w:sz w:val="18"/>
                <w:szCs w:val="18"/>
              </w:rPr>
              <w:t>MILLS</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General Fund</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5,157,536.53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95.99</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Transportation</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323,684.19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16.53</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Bus Depreciat</w:t>
            </w:r>
            <w:r>
              <w:rPr>
                <w:rFonts w:ascii="Arial" w:hAnsi="Arial" w:cs="Arial"/>
                <w:i/>
                <w:iCs/>
                <w:sz w:val="18"/>
                <w:szCs w:val="18"/>
              </w:rPr>
              <w:t>i</w:t>
            </w:r>
            <w:r w:rsidRPr="001B267C">
              <w:rPr>
                <w:rFonts w:ascii="Arial" w:hAnsi="Arial" w:cs="Arial"/>
                <w:i/>
                <w:iCs/>
                <w:sz w:val="18"/>
                <w:szCs w:val="18"/>
              </w:rPr>
              <w:t>on</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577,136.62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4.72</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Tuition</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10,808.68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Retirement   </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674,014.00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N/A</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Adult Education</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20,910.34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1.13</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lastRenderedPageBreak/>
              <w:t>Technology</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308,000.00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2.24</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Flexibility Fund  </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928,514.31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Debt Service</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10,000.00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Building Reserve</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705,331.60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TOTALS</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 xml:space="preserve"> $      8,715,936.27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b/>
                <w:bCs/>
                <w:sz w:val="18"/>
                <w:szCs w:val="18"/>
              </w:rPr>
            </w:pPr>
            <w:r w:rsidRPr="001B267C">
              <w:rPr>
                <w:rFonts w:ascii="Arial" w:hAnsi="Arial" w:cs="Arial"/>
                <w:b/>
                <w:bCs/>
                <w:sz w:val="18"/>
                <w:szCs w:val="18"/>
              </w:rPr>
              <w:t>120.61</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Taxable Valuation Dist #5</w:t>
            </w:r>
          </w:p>
        </w:tc>
        <w:tc>
          <w:tcPr>
            <w:tcW w:w="177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 xml:space="preserve"> $    11,162,004.00 </w:t>
            </w:r>
          </w:p>
        </w:tc>
        <w:tc>
          <w:tcPr>
            <w:tcW w:w="66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p>
        </w:tc>
      </w:tr>
    </w:tbl>
    <w:p w:rsidR="00AB6C74" w:rsidRDefault="00AB6C74" w:rsidP="009C0B86">
      <w:pPr>
        <w:ind w:left="0" w:firstLine="0"/>
        <w:outlineLvl w:val="0"/>
        <w:rPr>
          <w:sz w:val="21"/>
          <w:szCs w:val="21"/>
        </w:rPr>
      </w:pPr>
    </w:p>
    <w:tbl>
      <w:tblPr>
        <w:tblW w:w="4880" w:type="dxa"/>
        <w:tblInd w:w="99" w:type="dxa"/>
        <w:tblLook w:val="04A0"/>
      </w:tblPr>
      <w:tblGrid>
        <w:gridCol w:w="2440"/>
        <w:gridCol w:w="1785"/>
        <w:gridCol w:w="756"/>
      </w:tblGrid>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2440" w:type="dxa"/>
            <w:gridSpan w:val="2"/>
            <w:tcBorders>
              <w:top w:val="nil"/>
              <w:left w:val="nil"/>
              <w:bottom w:val="nil"/>
              <w:right w:val="nil"/>
            </w:tcBorders>
            <w:shd w:val="clear" w:color="auto" w:fill="auto"/>
            <w:noWrap/>
            <w:vAlign w:val="bottom"/>
            <w:hideMark/>
          </w:tcPr>
          <w:p w:rsidR="001B267C" w:rsidRPr="001B267C" w:rsidRDefault="001B267C" w:rsidP="001B267C">
            <w:pPr>
              <w:ind w:left="0" w:firstLine="0"/>
              <w:jc w:val="center"/>
              <w:rPr>
                <w:rFonts w:ascii="Arial" w:hAnsi="Arial" w:cs="Arial"/>
                <w:b/>
                <w:bCs/>
                <w:sz w:val="18"/>
                <w:szCs w:val="18"/>
              </w:rPr>
            </w:pPr>
            <w:r w:rsidRPr="001B267C">
              <w:rPr>
                <w:rFonts w:ascii="Arial" w:hAnsi="Arial" w:cs="Arial"/>
                <w:b/>
                <w:bCs/>
                <w:sz w:val="18"/>
                <w:szCs w:val="18"/>
              </w:rPr>
              <w:t>2012-2013</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2440" w:type="dxa"/>
            <w:gridSpan w:val="2"/>
            <w:tcBorders>
              <w:top w:val="nil"/>
              <w:left w:val="nil"/>
              <w:bottom w:val="nil"/>
              <w:right w:val="nil"/>
            </w:tcBorders>
            <w:shd w:val="clear" w:color="auto" w:fill="auto"/>
            <w:noWrap/>
            <w:vAlign w:val="bottom"/>
            <w:hideMark/>
          </w:tcPr>
          <w:p w:rsidR="001B267C" w:rsidRPr="001B267C" w:rsidRDefault="001B267C" w:rsidP="001B267C">
            <w:pPr>
              <w:ind w:left="0" w:firstLine="0"/>
              <w:jc w:val="center"/>
              <w:rPr>
                <w:rFonts w:ascii="Arial" w:hAnsi="Arial" w:cs="Arial"/>
                <w:b/>
                <w:bCs/>
                <w:sz w:val="18"/>
                <w:szCs w:val="18"/>
              </w:rPr>
            </w:pPr>
            <w:r w:rsidRPr="001B267C">
              <w:rPr>
                <w:rFonts w:ascii="Arial" w:hAnsi="Arial" w:cs="Arial"/>
                <w:b/>
                <w:bCs/>
                <w:sz w:val="18"/>
                <w:szCs w:val="18"/>
              </w:rPr>
              <w:t>PROPOSED BUDGETS</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HIGH SCHOOL DISTRICT #1</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b/>
                <w:bCs/>
                <w:sz w:val="18"/>
                <w:szCs w:val="18"/>
              </w:rPr>
            </w:pPr>
            <w:r w:rsidRPr="001B267C">
              <w:rPr>
                <w:rFonts w:ascii="Arial" w:hAnsi="Arial" w:cs="Arial"/>
                <w:b/>
                <w:bCs/>
                <w:sz w:val="18"/>
                <w:szCs w:val="18"/>
              </w:rPr>
              <w:t>BUDGET</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b/>
                <w:bCs/>
                <w:sz w:val="18"/>
                <w:szCs w:val="18"/>
              </w:rPr>
            </w:pPr>
            <w:r w:rsidRPr="001B267C">
              <w:rPr>
                <w:rFonts w:ascii="Arial" w:hAnsi="Arial" w:cs="Arial"/>
                <w:b/>
                <w:bCs/>
                <w:sz w:val="18"/>
                <w:szCs w:val="18"/>
              </w:rPr>
              <w:t>MILLS</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General Fund</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3,249,482.42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11.18</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Transportation</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185,021.32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6.58</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Bus Depreciat</w:t>
            </w:r>
            <w:r>
              <w:rPr>
                <w:rFonts w:ascii="Arial" w:hAnsi="Arial" w:cs="Arial"/>
                <w:i/>
                <w:iCs/>
                <w:sz w:val="18"/>
                <w:szCs w:val="18"/>
              </w:rPr>
              <w:t>i</w:t>
            </w:r>
            <w:r w:rsidRPr="001B267C">
              <w:rPr>
                <w:rFonts w:ascii="Arial" w:hAnsi="Arial" w:cs="Arial"/>
                <w:i/>
                <w:iCs/>
                <w:sz w:val="18"/>
                <w:szCs w:val="18"/>
              </w:rPr>
              <w:t>on</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774,094.07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0.98</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Tuition</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2,040.00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0.09</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Retirement  </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477,481.00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N/A</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Adult Education</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30,689.22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0.49</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Technology</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436,048.35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1.8</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Flexibility Fund  </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1,632,400.84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Debt Service</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476,755.00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Building Reserve</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i/>
                <w:iCs/>
                <w:sz w:val="18"/>
                <w:szCs w:val="18"/>
              </w:rPr>
            </w:pPr>
            <w:r w:rsidRPr="001B267C">
              <w:rPr>
                <w:rFonts w:ascii="Arial" w:hAnsi="Arial" w:cs="Arial"/>
                <w:i/>
                <w:iCs/>
                <w:sz w:val="18"/>
                <w:szCs w:val="18"/>
              </w:rPr>
              <w:t xml:space="preserve"> $      3,122,595.71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i/>
                <w:iCs/>
                <w:sz w:val="18"/>
                <w:szCs w:val="18"/>
              </w:rPr>
            </w:pPr>
            <w:r w:rsidRPr="001B267C">
              <w:rPr>
                <w:rFonts w:ascii="Arial" w:hAnsi="Arial" w:cs="Arial"/>
                <w:i/>
                <w:iCs/>
                <w:sz w:val="18"/>
                <w:szCs w:val="18"/>
              </w:rPr>
              <w:t>0</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TOTALS</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 xml:space="preserve"> $    10,386,607.93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jc w:val="right"/>
              <w:rPr>
                <w:rFonts w:ascii="Arial" w:hAnsi="Arial" w:cs="Arial"/>
                <w:b/>
                <w:bCs/>
                <w:sz w:val="18"/>
                <w:szCs w:val="18"/>
              </w:rPr>
            </w:pPr>
            <w:r w:rsidRPr="001B267C">
              <w:rPr>
                <w:rFonts w:ascii="Arial" w:hAnsi="Arial" w:cs="Arial"/>
                <w:b/>
                <w:bCs/>
                <w:sz w:val="18"/>
                <w:szCs w:val="18"/>
              </w:rPr>
              <w:t>21.12</w:t>
            </w: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sz w:val="18"/>
                <w:szCs w:val="18"/>
              </w:rPr>
            </w:pPr>
          </w:p>
        </w:tc>
      </w:tr>
      <w:tr w:rsidR="001B267C" w:rsidRPr="001B267C" w:rsidTr="001B267C">
        <w:trPr>
          <w:trHeight w:val="264"/>
        </w:trPr>
        <w:tc>
          <w:tcPr>
            <w:tcW w:w="2440"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Taxable Valuation Dist #1</w:t>
            </w:r>
          </w:p>
        </w:tc>
        <w:tc>
          <w:tcPr>
            <w:tcW w:w="178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r w:rsidRPr="001B267C">
              <w:rPr>
                <w:rFonts w:ascii="Arial" w:hAnsi="Arial" w:cs="Arial"/>
                <w:b/>
                <w:bCs/>
                <w:sz w:val="18"/>
                <w:szCs w:val="18"/>
              </w:rPr>
              <w:t xml:space="preserve"> $    16,704,451.00 </w:t>
            </w:r>
          </w:p>
        </w:tc>
        <w:tc>
          <w:tcPr>
            <w:tcW w:w="655" w:type="dxa"/>
            <w:tcBorders>
              <w:top w:val="nil"/>
              <w:left w:val="nil"/>
              <w:bottom w:val="nil"/>
              <w:right w:val="nil"/>
            </w:tcBorders>
            <w:shd w:val="clear" w:color="auto" w:fill="auto"/>
            <w:noWrap/>
            <w:vAlign w:val="bottom"/>
            <w:hideMark/>
          </w:tcPr>
          <w:p w:rsidR="001B267C" w:rsidRPr="001B267C" w:rsidRDefault="001B267C" w:rsidP="001B267C">
            <w:pPr>
              <w:ind w:left="0" w:firstLine="0"/>
              <w:rPr>
                <w:rFonts w:ascii="Arial" w:hAnsi="Arial" w:cs="Arial"/>
                <w:b/>
                <w:bCs/>
                <w:sz w:val="18"/>
                <w:szCs w:val="18"/>
              </w:rPr>
            </w:pPr>
          </w:p>
        </w:tc>
      </w:tr>
    </w:tbl>
    <w:p w:rsidR="00F8355D" w:rsidRDefault="00F8355D" w:rsidP="009C0B86">
      <w:pPr>
        <w:ind w:left="0" w:firstLine="0"/>
        <w:outlineLvl w:val="0"/>
        <w:rPr>
          <w:sz w:val="18"/>
          <w:szCs w:val="18"/>
        </w:rPr>
      </w:pPr>
    </w:p>
    <w:p w:rsidR="001B267C" w:rsidRPr="001B267C" w:rsidRDefault="001B267C" w:rsidP="009C0B86">
      <w:pPr>
        <w:ind w:left="0" w:firstLine="0"/>
        <w:outlineLvl w:val="0"/>
        <w:rPr>
          <w:sz w:val="21"/>
          <w:szCs w:val="21"/>
        </w:rPr>
      </w:pPr>
      <w:r>
        <w:rPr>
          <w:sz w:val="21"/>
          <w:szCs w:val="21"/>
        </w:rPr>
        <w:t>Following discussion regarding the increase in mills in both districts which is a result of the Transportation funds operating on excess oil and gas for the past year, Mrs. Cooley moved to adopt the budgets as presented.  Mr. Thiel seconded the motion which passed on a 4 to 0 vote.</w:t>
      </w:r>
    </w:p>
    <w:p w:rsidR="001B267C" w:rsidRPr="00477101" w:rsidRDefault="001B267C" w:rsidP="009C0B86">
      <w:pPr>
        <w:ind w:left="0" w:firstLine="0"/>
        <w:outlineLvl w:val="0"/>
        <w:rPr>
          <w:sz w:val="18"/>
          <w:szCs w:val="18"/>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1B267C">
        <w:rPr>
          <w:sz w:val="21"/>
          <w:szCs w:val="21"/>
        </w:rPr>
        <w:t>7:51</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332EFA">
      <w:headerReference w:type="default" r:id="rId8"/>
      <w:footerReference w:type="even" r:id="rId9"/>
      <w:footerReference w:type="default" r:id="rId10"/>
      <w:pgSz w:w="12240" w:h="15840"/>
      <w:pgMar w:top="720" w:right="1080" w:bottom="720" w:left="180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CB" w:rsidRDefault="00242ACB">
      <w:r>
        <w:separator/>
      </w:r>
    </w:p>
  </w:endnote>
  <w:endnote w:type="continuationSeparator" w:id="0">
    <w:p w:rsidR="00242ACB" w:rsidRDefault="00242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3457B5"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3457B5"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332EFA">
      <w:rPr>
        <w:rStyle w:val="PageNumber"/>
        <w:noProof/>
      </w:rPr>
      <w:t>41</w:t>
    </w:r>
    <w:r>
      <w:rPr>
        <w:rStyle w:val="PageNumber"/>
      </w:rPr>
      <w:fldChar w:fldCharType="end"/>
    </w:r>
  </w:p>
  <w:p w:rsidR="00AF59A7" w:rsidRDefault="00AF59A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CB" w:rsidRDefault="00242ACB">
      <w:r>
        <w:separator/>
      </w:r>
    </w:p>
  </w:footnote>
  <w:footnote w:type="continuationSeparator" w:id="0">
    <w:p w:rsidR="00242ACB" w:rsidRDefault="00242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sidR="001B267C">
      <w:rPr>
        <w:sz w:val="16"/>
        <w:szCs w:val="16"/>
      </w:rPr>
      <w:t xml:space="preserve"> Board of Trustees Minutes 8</w:t>
    </w:r>
    <w:r w:rsidR="008F5C82">
      <w:rPr>
        <w:sz w:val="16"/>
        <w:szCs w:val="16"/>
      </w:rPr>
      <w:t>/</w:t>
    </w:r>
    <w:r w:rsidR="001B267C">
      <w:rPr>
        <w:sz w:val="16"/>
        <w:szCs w:val="16"/>
      </w:rPr>
      <w:t>23</w:t>
    </w:r>
    <w:r>
      <w:rPr>
        <w:sz w:val="16"/>
        <w:szCs w:val="16"/>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B7E32"/>
    <w:multiLevelType w:val="hybridMultilevel"/>
    <w:tmpl w:val="904ADC38"/>
    <w:lvl w:ilvl="0" w:tplc="0D4ED9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B4365"/>
    <w:multiLevelType w:val="hybridMultilevel"/>
    <w:tmpl w:val="86CCD898"/>
    <w:lvl w:ilvl="0" w:tplc="7D6AC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E286E"/>
    <w:multiLevelType w:val="hybridMultilevel"/>
    <w:tmpl w:val="4698BE0C"/>
    <w:lvl w:ilvl="0" w:tplc="2B4C8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55F4B"/>
    <w:multiLevelType w:val="hybridMultilevel"/>
    <w:tmpl w:val="28F8F996"/>
    <w:lvl w:ilvl="0" w:tplc="8A347C2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8">
    <w:nsid w:val="542710C4"/>
    <w:multiLevelType w:val="hybridMultilevel"/>
    <w:tmpl w:val="D7DA53D8"/>
    <w:lvl w:ilvl="0" w:tplc="98D8F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9"/>
  </w:num>
  <w:num w:numId="6">
    <w:abstractNumId w:val="5"/>
  </w:num>
  <w:num w:numId="7">
    <w:abstractNumId w:val="4"/>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44737"/>
  </w:hdrShapeDefaults>
  <w:footnotePr>
    <w:footnote w:id="-1"/>
    <w:footnote w:id="0"/>
  </w:footnotePr>
  <w:endnotePr>
    <w:endnote w:id="-1"/>
    <w:endnote w:id="0"/>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83F4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0F5926"/>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267C"/>
    <w:rsid w:val="001B2B66"/>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0C7B"/>
    <w:rsid w:val="0020218A"/>
    <w:rsid w:val="00211045"/>
    <w:rsid w:val="00212995"/>
    <w:rsid w:val="00215C3D"/>
    <w:rsid w:val="00222584"/>
    <w:rsid w:val="00223852"/>
    <w:rsid w:val="00223C22"/>
    <w:rsid w:val="002316FA"/>
    <w:rsid w:val="00231A75"/>
    <w:rsid w:val="002347B9"/>
    <w:rsid w:val="00234BEA"/>
    <w:rsid w:val="002401E6"/>
    <w:rsid w:val="00242ACB"/>
    <w:rsid w:val="00245A6F"/>
    <w:rsid w:val="00245C59"/>
    <w:rsid w:val="00246A5B"/>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D66AF"/>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2EFA"/>
    <w:rsid w:val="00334F67"/>
    <w:rsid w:val="00337EC4"/>
    <w:rsid w:val="00337F26"/>
    <w:rsid w:val="0034176E"/>
    <w:rsid w:val="00341A6A"/>
    <w:rsid w:val="003456D9"/>
    <w:rsid w:val="003457B5"/>
    <w:rsid w:val="00346FF2"/>
    <w:rsid w:val="00347741"/>
    <w:rsid w:val="003512EB"/>
    <w:rsid w:val="00351307"/>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5F87"/>
    <w:rsid w:val="003A674A"/>
    <w:rsid w:val="003A6C35"/>
    <w:rsid w:val="003B212D"/>
    <w:rsid w:val="003B7F9E"/>
    <w:rsid w:val="003C07DE"/>
    <w:rsid w:val="003C2F36"/>
    <w:rsid w:val="003C6FB4"/>
    <w:rsid w:val="003C7B32"/>
    <w:rsid w:val="003D2C90"/>
    <w:rsid w:val="003D4F2B"/>
    <w:rsid w:val="003D54E5"/>
    <w:rsid w:val="003D70B3"/>
    <w:rsid w:val="003D7CFB"/>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6A2B"/>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916EF"/>
    <w:rsid w:val="00597A43"/>
    <w:rsid w:val="005A5985"/>
    <w:rsid w:val="005A66E1"/>
    <w:rsid w:val="005A6D05"/>
    <w:rsid w:val="005A72DF"/>
    <w:rsid w:val="005B0D17"/>
    <w:rsid w:val="005B3117"/>
    <w:rsid w:val="005B41D5"/>
    <w:rsid w:val="005B490A"/>
    <w:rsid w:val="005B5FF7"/>
    <w:rsid w:val="005B75D0"/>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40DF"/>
    <w:rsid w:val="00724782"/>
    <w:rsid w:val="00727530"/>
    <w:rsid w:val="007276FC"/>
    <w:rsid w:val="0073336E"/>
    <w:rsid w:val="00733D48"/>
    <w:rsid w:val="00734824"/>
    <w:rsid w:val="00736F16"/>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9CF"/>
    <w:rsid w:val="007C265E"/>
    <w:rsid w:val="007C645B"/>
    <w:rsid w:val="007C79A4"/>
    <w:rsid w:val="007D1A6A"/>
    <w:rsid w:val="007D5478"/>
    <w:rsid w:val="007D5807"/>
    <w:rsid w:val="007D5A88"/>
    <w:rsid w:val="007D5B1C"/>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4192"/>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3B5"/>
    <w:rsid w:val="008E44D9"/>
    <w:rsid w:val="008E4F00"/>
    <w:rsid w:val="008E5377"/>
    <w:rsid w:val="008E57E5"/>
    <w:rsid w:val="008E5AB6"/>
    <w:rsid w:val="008E70E4"/>
    <w:rsid w:val="008E747A"/>
    <w:rsid w:val="008F091E"/>
    <w:rsid w:val="008F130F"/>
    <w:rsid w:val="008F17A6"/>
    <w:rsid w:val="008F4F58"/>
    <w:rsid w:val="008F5C82"/>
    <w:rsid w:val="008F73FF"/>
    <w:rsid w:val="0090390E"/>
    <w:rsid w:val="00905E00"/>
    <w:rsid w:val="009068B6"/>
    <w:rsid w:val="00912DC6"/>
    <w:rsid w:val="00916C8D"/>
    <w:rsid w:val="009343B3"/>
    <w:rsid w:val="0093456C"/>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18E9"/>
    <w:rsid w:val="0097319D"/>
    <w:rsid w:val="00976182"/>
    <w:rsid w:val="00981D1E"/>
    <w:rsid w:val="00984A6F"/>
    <w:rsid w:val="00987D6B"/>
    <w:rsid w:val="00991D11"/>
    <w:rsid w:val="009920AC"/>
    <w:rsid w:val="00992730"/>
    <w:rsid w:val="0099339C"/>
    <w:rsid w:val="00994A93"/>
    <w:rsid w:val="00994AA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542D"/>
    <w:rsid w:val="009E569B"/>
    <w:rsid w:val="009E6565"/>
    <w:rsid w:val="009E7325"/>
    <w:rsid w:val="009F1DEF"/>
    <w:rsid w:val="009F590D"/>
    <w:rsid w:val="00A02D00"/>
    <w:rsid w:val="00A06398"/>
    <w:rsid w:val="00A15A3C"/>
    <w:rsid w:val="00A16094"/>
    <w:rsid w:val="00A20513"/>
    <w:rsid w:val="00A238EB"/>
    <w:rsid w:val="00A27090"/>
    <w:rsid w:val="00A31CC1"/>
    <w:rsid w:val="00A31DEC"/>
    <w:rsid w:val="00A33AF1"/>
    <w:rsid w:val="00A3672B"/>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6C74"/>
    <w:rsid w:val="00AB7BFD"/>
    <w:rsid w:val="00AC15CA"/>
    <w:rsid w:val="00AC36E6"/>
    <w:rsid w:val="00AC6159"/>
    <w:rsid w:val="00AD0440"/>
    <w:rsid w:val="00AD072C"/>
    <w:rsid w:val="00AD1C27"/>
    <w:rsid w:val="00AD3061"/>
    <w:rsid w:val="00AD5AB0"/>
    <w:rsid w:val="00AE16CA"/>
    <w:rsid w:val="00AE2284"/>
    <w:rsid w:val="00AE2817"/>
    <w:rsid w:val="00AE2961"/>
    <w:rsid w:val="00AE39AB"/>
    <w:rsid w:val="00AE44AC"/>
    <w:rsid w:val="00AE484F"/>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51AC"/>
    <w:rsid w:val="00B153D2"/>
    <w:rsid w:val="00B175B5"/>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22C5"/>
    <w:rsid w:val="00D151C4"/>
    <w:rsid w:val="00D17D38"/>
    <w:rsid w:val="00D20207"/>
    <w:rsid w:val="00D22D79"/>
    <w:rsid w:val="00D249AF"/>
    <w:rsid w:val="00D24E7E"/>
    <w:rsid w:val="00D264BD"/>
    <w:rsid w:val="00D27D7B"/>
    <w:rsid w:val="00D32783"/>
    <w:rsid w:val="00D35AAF"/>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3FA9"/>
    <w:rsid w:val="00DA4B66"/>
    <w:rsid w:val="00DA584C"/>
    <w:rsid w:val="00DA6958"/>
    <w:rsid w:val="00DA6E12"/>
    <w:rsid w:val="00DB0000"/>
    <w:rsid w:val="00DB0441"/>
    <w:rsid w:val="00DB0709"/>
    <w:rsid w:val="00DB2CB0"/>
    <w:rsid w:val="00DB727F"/>
    <w:rsid w:val="00DC2BDE"/>
    <w:rsid w:val="00DC4213"/>
    <w:rsid w:val="00DC45F6"/>
    <w:rsid w:val="00DC5087"/>
    <w:rsid w:val="00DC529E"/>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589"/>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016A8"/>
    <w:rsid w:val="00F11E36"/>
    <w:rsid w:val="00F12F04"/>
    <w:rsid w:val="00F136E5"/>
    <w:rsid w:val="00F1658A"/>
    <w:rsid w:val="00F17A37"/>
    <w:rsid w:val="00F20E50"/>
    <w:rsid w:val="00F22B0A"/>
    <w:rsid w:val="00F2321C"/>
    <w:rsid w:val="00F233A1"/>
    <w:rsid w:val="00F23BD9"/>
    <w:rsid w:val="00F27348"/>
    <w:rsid w:val="00F3791D"/>
    <w:rsid w:val="00F37BEB"/>
    <w:rsid w:val="00F41A49"/>
    <w:rsid w:val="00F43F59"/>
    <w:rsid w:val="00F4544B"/>
    <w:rsid w:val="00F505DC"/>
    <w:rsid w:val="00F50964"/>
    <w:rsid w:val="00F514A7"/>
    <w:rsid w:val="00F52908"/>
    <w:rsid w:val="00F53424"/>
    <w:rsid w:val="00F56BC1"/>
    <w:rsid w:val="00F61FB6"/>
    <w:rsid w:val="00F6225E"/>
    <w:rsid w:val="00F64A4C"/>
    <w:rsid w:val="00F66DFA"/>
    <w:rsid w:val="00F70316"/>
    <w:rsid w:val="00F72AF0"/>
    <w:rsid w:val="00F74A25"/>
    <w:rsid w:val="00F759B6"/>
    <w:rsid w:val="00F75E85"/>
    <w:rsid w:val="00F77878"/>
    <w:rsid w:val="00F8099C"/>
    <w:rsid w:val="00F82152"/>
    <w:rsid w:val="00F8355D"/>
    <w:rsid w:val="00F83AC4"/>
    <w:rsid w:val="00F856DC"/>
    <w:rsid w:val="00F879B0"/>
    <w:rsid w:val="00F906F2"/>
    <w:rsid w:val="00F949EA"/>
    <w:rsid w:val="00F952BB"/>
    <w:rsid w:val="00F9640A"/>
    <w:rsid w:val="00F9758C"/>
    <w:rsid w:val="00FA0435"/>
    <w:rsid w:val="00FA205C"/>
    <w:rsid w:val="00FA5491"/>
    <w:rsid w:val="00FA6276"/>
    <w:rsid w:val="00FA7C6F"/>
    <w:rsid w:val="00FB2592"/>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1796890">
      <w:bodyDiv w:val="1"/>
      <w:marLeft w:val="0"/>
      <w:marRight w:val="0"/>
      <w:marTop w:val="0"/>
      <w:marBottom w:val="0"/>
      <w:divBdr>
        <w:top w:val="none" w:sz="0" w:space="0" w:color="auto"/>
        <w:left w:val="none" w:sz="0" w:space="0" w:color="auto"/>
        <w:bottom w:val="none" w:sz="0" w:space="0" w:color="auto"/>
        <w:right w:val="none" w:sz="0" w:space="0" w:color="auto"/>
      </w:divBdr>
    </w:div>
    <w:div w:id="293566490">
      <w:bodyDiv w:val="1"/>
      <w:marLeft w:val="0"/>
      <w:marRight w:val="0"/>
      <w:marTop w:val="0"/>
      <w:marBottom w:val="0"/>
      <w:divBdr>
        <w:top w:val="none" w:sz="0" w:space="0" w:color="auto"/>
        <w:left w:val="none" w:sz="0" w:space="0" w:color="auto"/>
        <w:bottom w:val="none" w:sz="0" w:space="0" w:color="auto"/>
        <w:right w:val="none" w:sz="0" w:space="0" w:color="auto"/>
      </w:divBdr>
    </w:div>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128429686">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04015262">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AA06-5EC2-4E46-8D76-AC6C8F0A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3</cp:revision>
  <cp:lastPrinted>2012-09-11T16:44:00Z</cp:lastPrinted>
  <dcterms:created xsi:type="dcterms:W3CDTF">2012-09-11T16:30:00Z</dcterms:created>
  <dcterms:modified xsi:type="dcterms:W3CDTF">2012-09-11T16:46:00Z</dcterms:modified>
</cp:coreProperties>
</file>